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5E05D764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6E6F010" w14:textId="4CD52B81" w:rsidR="005F3101" w:rsidRPr="005F3101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>1. When a person drinks so much alcohol that the part of the brain that controls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>basic life-support functions shuts down, it is a(</w:t>
      </w:r>
      <w:proofErr w:type="gramStart"/>
      <w:r w:rsidRPr="005F3101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.</w:t>
      </w:r>
    </w:p>
    <w:p w14:paraId="5494750C" w14:textId="0700B619" w:rsidR="005F3101" w:rsidRPr="005F3101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of the liver is irreversible scarring of the liver.</w:t>
      </w:r>
    </w:p>
    <w:p w14:paraId="69354A1F" w14:textId="332DB604" w:rsidR="005F3101" w:rsidRPr="005F3101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3. Drinking alcohol during pregnancy can cause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bookmarkStart w:id="0" w:name="_GoBack"/>
      <w:bookmarkEnd w:id="0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, which are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>a variety of syndromes and disorders.</w:t>
      </w:r>
    </w:p>
    <w:p w14:paraId="3C697076" w14:textId="24B0CE8B" w:rsidR="005F3101" w:rsidRPr="005F3101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4. The most severe of the FASDs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.</w:t>
      </w:r>
    </w:p>
    <w:p w14:paraId="3CA2AAAD" w14:textId="742FDA4D" w:rsidR="005F3101" w:rsidRPr="005F3101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5. The four main reasons people drink are to increase a 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CB279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CB279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mood,</w:t>
      </w:r>
      <w:r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>to gain approval,</w:t>
      </w:r>
      <w:r w:rsidR="00CB279A">
        <w:rPr>
          <w:rFonts w:asciiTheme="minorHAnsi" w:hAnsiTheme="minorHAnsi" w:cstheme="minorHAnsi"/>
        </w:rPr>
        <w:t xml:space="preserve"> </w:t>
      </w:r>
      <w:r w:rsidRPr="005F3101">
        <w:rPr>
          <w:rFonts w:asciiTheme="minorHAnsi" w:hAnsiTheme="minorHAnsi" w:cstheme="minorHAnsi"/>
        </w:rPr>
        <w:t xml:space="preserve">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the pain of negative feelings, and</w:t>
      </w:r>
      <w:r w:rsidR="00CB279A">
        <w:rPr>
          <w:rFonts w:asciiTheme="minorHAnsi" w:hAnsiTheme="minorHAnsi" w:cstheme="minorHAnsi"/>
        </w:rPr>
        <w:br/>
      </w:r>
      <w:r w:rsidRPr="005F3101">
        <w:rPr>
          <w:rFonts w:asciiTheme="minorHAnsi" w:hAnsiTheme="minorHAnsi" w:cstheme="minorHAnsi"/>
        </w:rPr>
        <w:t xml:space="preserve">to 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CB279A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CB279A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CB279A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in.</w:t>
      </w:r>
    </w:p>
    <w:p w14:paraId="76923AC8" w14:textId="2EB2C835" w:rsidR="000074AE" w:rsidRDefault="005F3101" w:rsidP="005F3101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5F3101">
        <w:rPr>
          <w:rFonts w:asciiTheme="minorHAnsi" w:hAnsiTheme="minorHAnsi" w:cstheme="minorHAnsi"/>
        </w:rPr>
        <w:t xml:space="preserve">6. The use of alcohol as a teen can lead to the use of </w:t>
      </w:r>
      <w:proofErr w:type="gramStart"/>
      <w:r w:rsidRPr="005F3101">
        <w:rPr>
          <w:rFonts w:asciiTheme="minorHAnsi" w:hAnsiTheme="minorHAnsi" w:cstheme="minorHAnsi"/>
        </w:rPr>
        <w:t>other</w:t>
      </w:r>
      <w:proofErr w:type="gramEnd"/>
      <w:r w:rsidRPr="005F310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5F3101">
        <w:rPr>
          <w:rFonts w:asciiTheme="minorHAnsi" w:hAnsiTheme="minorHAnsi" w:cstheme="minorHAnsi"/>
        </w:rPr>
        <w:t>because of being impulsive.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F0A0507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10</w:t>
    </w:r>
    <w:r w:rsidRPr="00047D97">
      <w:rPr>
        <w:u w:val="none"/>
      </w:rPr>
      <w:t>.</w:t>
    </w:r>
    <w:r w:rsidR="005F3101">
      <w:rPr>
        <w:u w:val="none"/>
      </w:rPr>
      <w:t>2</w:t>
    </w:r>
    <w:r w:rsidRPr="00047D97">
      <w:rPr>
        <w:u w:val="none"/>
      </w:rPr>
      <w:t xml:space="preserve"> </w:t>
    </w:r>
    <w:r w:rsidR="005F3101">
      <w:rPr>
        <w:u w:val="none"/>
      </w:rPr>
      <w:t>The Effects of Alcohol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3101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CB279A"/>
    <w:rsid w:val="00D208EC"/>
    <w:rsid w:val="00D31C7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2020-11-06T04:57:00Z</dcterms:created>
  <dcterms:modified xsi:type="dcterms:W3CDTF">2020-11-06T05:11:00Z</dcterms:modified>
</cp:coreProperties>
</file>